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方正小标宋简体" w:eastAsia="方正小标宋简体"/>
          <w:sz w:val="44"/>
          <w:szCs w:val="44"/>
        </w:rPr>
      </w:pPr>
      <w:r>
        <w:rPr>
          <w:rFonts w:hint="eastAsia" w:ascii="方正小标宋简体" w:eastAsia="方正小标宋简体"/>
          <w:sz w:val="44"/>
          <w:szCs w:val="44"/>
        </w:rPr>
        <w:t>大连高新区投资促进局法制审核人员</w:t>
      </w:r>
    </w:p>
    <w:p>
      <w:pPr>
        <w:spacing w:line="560" w:lineRule="exact"/>
        <w:jc w:val="center"/>
        <w:rPr>
          <w:rFonts w:hint="eastAsia" w:ascii="方正小标宋简体" w:eastAsia="方正小标宋简体"/>
          <w:sz w:val="44"/>
          <w:szCs w:val="44"/>
        </w:rPr>
      </w:pPr>
      <w:r>
        <w:rPr>
          <w:rFonts w:hint="eastAsia" w:ascii="方正小标宋简体" w:eastAsia="方正小标宋简体"/>
          <w:sz w:val="44"/>
          <w:szCs w:val="44"/>
        </w:rPr>
        <w:t>培训制度</w:t>
      </w:r>
    </w:p>
    <w:p>
      <w:pPr>
        <w:spacing w:line="560" w:lineRule="exact"/>
        <w:jc w:val="center"/>
        <w:rPr>
          <w:rFonts w:hint="eastAsia" w:ascii="方正小标宋简体" w:eastAsia="方正小标宋简体"/>
          <w:sz w:val="44"/>
          <w:szCs w:val="44"/>
        </w:rPr>
      </w:pPr>
    </w:p>
    <w:p>
      <w:pPr>
        <w:spacing w:line="560" w:lineRule="exact"/>
        <w:ind w:firstLine="640" w:firstLineChars="200"/>
        <w:rPr>
          <w:rFonts w:hint="eastAsia" w:ascii="黑体" w:hAnsi="黑体" w:eastAsia="黑体"/>
          <w:sz w:val="32"/>
          <w:szCs w:val="32"/>
        </w:rPr>
      </w:pPr>
      <w:r>
        <w:rPr>
          <w:rFonts w:hint="eastAsia" w:ascii="黑体" w:hAnsi="黑体" w:eastAsia="黑体"/>
          <w:sz w:val="32"/>
          <w:szCs w:val="32"/>
        </w:rPr>
        <w:t>第一章 总则</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第一条 为加强本局行政执法法制审核队伍专业化建设，提升法制审核人员法律素养与业务能力，保障重大执法决定法制审核制度有效落实，推进严格规范公正文明执法，根据《中华人民共和国行政处罚法》《辽宁省重大行政执法决定法制审核办法》《大连市全面推行行政执法公示制度执法全过程记录制度重大执法决定法制审核制度实施方案》及大连高新区行政执法“三项制度”工作要求，结合本局投资促进行政执法工作实际，制定本制度。</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第二条 本制度适用于本局承担重大执法决定法制审核职责的专职、兼职法制审核人员，以及协助开展法制审核辅助工作的业务工作人员。</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第三条 法制审核人员培训工作遵循以下四项原则：</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（一）政治引领，法治导向。坚持以习近平法治思想为根本遵循，牢固树立依法行政理念，将法治素养培育贯穿培训全过程。</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（二）按需施教，精准赋能。立足投资促进执法审核痛点难点，坚持缺什么、补什么，分类设置培训课程。</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（三）实务为主，学用结合。突出案例教学、实操演练，紧贴法制审核岗位履职实际，提升实战审核能力。</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（四）常态长效，统筹推进。将培训纳入年度法治建设工作统筹安排，建立常态化、规范化、长效化培训机制。</w:t>
      </w:r>
    </w:p>
    <w:p>
      <w:pPr>
        <w:spacing w:line="560" w:lineRule="exact"/>
        <w:ind w:firstLine="640" w:firstLineChars="200"/>
        <w:rPr>
          <w:rFonts w:hint="eastAsia" w:ascii="黑体" w:hAnsi="黑体" w:eastAsia="黑体"/>
          <w:sz w:val="32"/>
          <w:szCs w:val="32"/>
        </w:rPr>
      </w:pPr>
      <w:r>
        <w:rPr>
          <w:rFonts w:hint="eastAsia" w:ascii="黑体" w:hAnsi="黑体" w:eastAsia="黑体"/>
          <w:sz w:val="32"/>
          <w:szCs w:val="32"/>
        </w:rPr>
        <w:t>第二章 培训组织与职责分工</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第四条 投资促进服务中心为本局法制审核人员培训工作责任部门，主要履行以下职责：</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（一）每年年初编制法制审核人员年度培训工作计划，报局领导班子审议后组织实施；</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（二）统筹落实培训师资、学习资料、培训场地及相关经费保障；</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（三）组织开展集中授课、案例研讨、案卷评查、线上学习等各类培训活动；</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（四）建立法制审核人员个人培训档案，完整记录参训、考核、学习成果情况；</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（五）跟踪督促法制审核人员完成年度自主学习任务，定期梳理培训成效。</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第五条 各业务科室配合做好培训保障工作：及时报送本科室法制审核人员培训需求，合理调整工作安排，保障参训人员正常参加各类培训学习。</w:t>
      </w:r>
    </w:p>
    <w:p>
      <w:pPr>
        <w:spacing w:line="560" w:lineRule="exact"/>
        <w:ind w:firstLine="640" w:firstLineChars="200"/>
        <w:rPr>
          <w:rFonts w:hint="eastAsia" w:ascii="黑体" w:hAnsi="黑体" w:eastAsia="黑体"/>
          <w:sz w:val="32"/>
          <w:szCs w:val="32"/>
        </w:rPr>
      </w:pPr>
      <w:r>
        <w:rPr>
          <w:rFonts w:hint="eastAsia" w:ascii="黑体" w:hAnsi="黑体" w:eastAsia="黑体"/>
          <w:sz w:val="32"/>
          <w:szCs w:val="32"/>
        </w:rPr>
        <w:t>第三章 培训对象与岗位任职要求</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第六条 法制审核人员须满足基础任职条件：</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（一）政治立场坚定，自觉遵守宪法法律，恪守行政执法职业道德与廉洁纪律；</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（二）具备法律专业学习背景，或长期从事投资促进、涉企监管执法工作，拥有成熟执法实务经验；</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（三）熟练掌握外商投资、产业扶持、优化营商环境等领域法律法规及本局执法流程；</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（四）初次独立承担行政处罚、行政检查、行政强制等重大执法决定法制审核工作的人员，应当取得国家统一法律职业资格。</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第七条 本局法制审核人员配置规模与执法任务相匹配，法制审核人员数量不低于全局持证执法人员总数5%，确保审核工作全覆盖。</w:t>
      </w:r>
    </w:p>
    <w:p>
      <w:pPr>
        <w:spacing w:line="560" w:lineRule="exact"/>
        <w:ind w:firstLine="640" w:firstLineChars="200"/>
        <w:rPr>
          <w:rFonts w:hint="eastAsia" w:ascii="黑体" w:hAnsi="黑体" w:eastAsia="黑体"/>
          <w:sz w:val="32"/>
          <w:szCs w:val="32"/>
        </w:rPr>
      </w:pPr>
      <w:r>
        <w:rPr>
          <w:rFonts w:hint="eastAsia" w:ascii="黑体" w:hAnsi="黑体" w:eastAsia="黑体"/>
          <w:sz w:val="32"/>
          <w:szCs w:val="32"/>
        </w:rPr>
        <w:t>第四章 培训核心内容</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第八条 培训内容分为通用法律知识、行业专业法规、法制审核实操、综合职业素养四大板块。</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（一）通用法律基础</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习近平法治思想、宪法、法治政府建设相关理论；《行政处罚法》《行政许可法》《行政强制法》《行政复议法》《行政诉讼法》等通用行政法律规范；行政执法三项制度、行政执法证据规则、执法程序规范、行政执法文书通用标准。</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（二）投资促进专业法规政策</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外商投资法》及其实施条例、外商投资信息报告管理相关规定；《优化营商环境条例》《辽宁省优化营商环境条例》《大连市优化营商环境条例》；招商引资、产业奖补、企业核查、涉企行政监管相关规章、规范性文件；国家、省、市、高新区涉外资、企业服务、产业发展专项政策文件。</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（三）法制审核实操技能</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重大行政执法决定法制审核全流程、审核标准、风险核查要点；执法案卷评查方法、常见程序瑕疵、法律适用错误识别与整改规范；复杂疑难案件法律论证、听证程序、行政复议与行政诉讼应诉应对；包容审慎监管、轻微违法首违不罚、涉企柔性执法实操运用。</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（四）职业素养与纪律规范</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年度法治政府建设工作部署、上级行政执法最新工作要求；行政执法廉洁自律规定、作风建设、涉企服务沟通规范；优化营商环境工作纪律、企业诉求处置法治底线要求。</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第九条 遇新修订、新出台法律法规、上级重大执法规范文件，综合科须在文件生效后</w:t>
      </w:r>
      <w:r>
        <w:rPr>
          <w:rFonts w:hint="eastAsia" w:ascii="仿宋_GB2312" w:eastAsia="仿宋_GB2312"/>
          <w:sz w:val="32"/>
          <w:szCs w:val="32"/>
          <w:lang w:val="en-US" w:eastAsia="zh-CN"/>
        </w:rPr>
        <w:t>1</w:t>
      </w:r>
      <w:r>
        <w:rPr>
          <w:rFonts w:hint="eastAsia" w:ascii="仿宋_GB2312" w:eastAsia="仿宋_GB2312"/>
          <w:sz w:val="32"/>
          <w:szCs w:val="32"/>
        </w:rPr>
        <w:t>个月内组织专题专项培训，确保法制审核人员及时更新法律知识储备。</w:t>
      </w:r>
    </w:p>
    <w:p>
      <w:pPr>
        <w:spacing w:line="560" w:lineRule="exact"/>
        <w:ind w:firstLine="640" w:firstLineChars="200"/>
        <w:rPr>
          <w:rFonts w:hint="eastAsia" w:ascii="黑体" w:hAnsi="黑体" w:eastAsia="黑体"/>
          <w:sz w:val="32"/>
          <w:szCs w:val="32"/>
        </w:rPr>
      </w:pPr>
      <w:r>
        <w:rPr>
          <w:rFonts w:hint="eastAsia" w:ascii="黑体" w:hAnsi="黑体" w:eastAsia="黑体"/>
          <w:sz w:val="32"/>
          <w:szCs w:val="32"/>
        </w:rPr>
        <w:t>第五章 培训形式与学时标准</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第十条 培训采取线下集中培训、线上自主学习、以案代训实践锻炼相结合模式开展。</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（一）线下集中培训</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年度全员轮训：每年至少组织</w:t>
      </w:r>
      <w:r>
        <w:rPr>
          <w:rFonts w:hint="eastAsia" w:ascii="仿宋_GB2312" w:eastAsia="仿宋_GB2312"/>
          <w:sz w:val="32"/>
          <w:szCs w:val="32"/>
          <w:lang w:val="en-US" w:eastAsia="zh-CN"/>
        </w:rPr>
        <w:t>1</w:t>
      </w:r>
      <w:r>
        <w:rPr>
          <w:rFonts w:hint="eastAsia" w:ascii="仿宋_GB2312" w:eastAsia="仿宋_GB2312"/>
          <w:sz w:val="32"/>
          <w:szCs w:val="32"/>
        </w:rPr>
        <w:t>次法制审核全员集中培训，单次培训不少于</w:t>
      </w:r>
      <w:r>
        <w:rPr>
          <w:rFonts w:hint="eastAsia" w:ascii="仿宋_GB2312" w:eastAsia="仿宋_GB2312"/>
          <w:sz w:val="32"/>
          <w:szCs w:val="32"/>
          <w:lang w:val="en-US" w:eastAsia="zh-CN"/>
        </w:rPr>
        <w:t>8</w:t>
      </w:r>
      <w:r>
        <w:rPr>
          <w:rFonts w:hint="eastAsia" w:ascii="仿宋_GB2312" w:eastAsia="仿宋_GB2312"/>
          <w:sz w:val="32"/>
          <w:szCs w:val="32"/>
        </w:rPr>
        <w:t>学时；邀请司法局业务专家、法律顾问、上级投促系统骨干授课。</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专项案例研讨：针对复杂执法案件、新型监管问题，不定期组织案情复盘、案例研讨交流会。</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案卷交叉评查培训：每半年组织一次全局执法案卷互评，以评促学提升审核判断力。</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（二）线上自主学习</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年度总自主学习学时不少于40学时，通用法律、行业业务知识各占20学时；依托省、市行政执法线上培训平台完成规定必修课程；鼓励自主参加法律职业继续教育、法治专题线上讲座。</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（三）实践带教锻炼</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安排法制审核人员参与一线执法现场观摩，熟悉执法全过程；建立公职律师、法律顾问列席重大案件审核机制，现场指导审核工作，以干代训。</w:t>
      </w:r>
    </w:p>
    <w:p>
      <w:pPr>
        <w:spacing w:line="560" w:lineRule="exact"/>
        <w:ind w:firstLine="640" w:firstLineChars="200"/>
        <w:rPr>
          <w:rFonts w:hint="eastAsia" w:ascii="黑体" w:hAnsi="黑体" w:eastAsia="黑体"/>
          <w:sz w:val="32"/>
          <w:szCs w:val="32"/>
        </w:rPr>
      </w:pPr>
      <w:r>
        <w:rPr>
          <w:rFonts w:hint="eastAsia" w:ascii="黑体" w:hAnsi="黑体" w:eastAsia="黑体"/>
          <w:sz w:val="32"/>
          <w:szCs w:val="32"/>
        </w:rPr>
        <w:t>第六章 培训计划组织实施</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第十一条 每年1月，投资促进服务中心结合上一年度执法案卷问题、新法更新、人员变动情况制定年度培训计划，明确培训主题、课时、授课人员、时间安排、经费预算，报分管领导、主要领导审批后执行。</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第十二条 集中培训实行严格考勤签到制度，无正当理由不得缺席、迟到、早退；确因公务无法参训的，事后须完成补学并提交学习心得。</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第十三条 根据年度执法工作重点动态调整培训内容，出现新型涉企执法风险、上级专项督查要求时，及时增设临时专题培训。</w:t>
      </w:r>
    </w:p>
    <w:p>
      <w:pPr>
        <w:spacing w:line="560" w:lineRule="exact"/>
        <w:ind w:firstLine="640" w:firstLineChars="200"/>
        <w:rPr>
          <w:rFonts w:hint="eastAsia" w:ascii="黑体" w:hAnsi="黑体" w:eastAsia="黑体"/>
          <w:sz w:val="32"/>
          <w:szCs w:val="32"/>
        </w:rPr>
      </w:pPr>
      <w:r>
        <w:rPr>
          <w:rFonts w:hint="eastAsia" w:ascii="黑体" w:hAnsi="黑体" w:eastAsia="黑体"/>
          <w:sz w:val="32"/>
          <w:szCs w:val="32"/>
        </w:rPr>
        <w:t>第七章 培训考核与结果运用</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第十四条 法制审核人员培训实行年度考核管理，考核结果纳入个人年度绩效考核、评优评先、岗位调整重要依据。</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第十五条 考核内容包含：培训出勤情况、线上学习完成学时、集中培训测试成绩、日常法制审核案卷质量、疑难案件处置成效。集中培训结束后采取案例分析、卷面测试、案卷实操等方式开展结业考核。</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第十六条 存在无故缺席培训、年度学时未达标、考核不合格人员，由综合科进行约谈提醒，限期完成补训补考；连续两年考核不合格，不适合从事法制审核工作的，调整调离法制审核岗位。</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第十七条 实行一人一档培训档案管理，档案留存培训通知、签到表、学习课件、考核试卷、学习记录等材料，长期存档备查。</w:t>
      </w:r>
    </w:p>
    <w:p>
      <w:pPr>
        <w:spacing w:line="560" w:lineRule="exact"/>
        <w:ind w:firstLine="640" w:firstLineChars="200"/>
        <w:rPr>
          <w:rFonts w:hint="eastAsia" w:ascii="黑体" w:hAnsi="黑体" w:eastAsia="黑体"/>
          <w:sz w:val="32"/>
          <w:szCs w:val="32"/>
        </w:rPr>
      </w:pPr>
      <w:r>
        <w:rPr>
          <w:rFonts w:hint="eastAsia" w:ascii="黑体" w:hAnsi="黑体" w:eastAsia="黑体"/>
          <w:sz w:val="32"/>
          <w:szCs w:val="32"/>
        </w:rPr>
        <w:t>第八章 培训保障机制</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第十八条 局党组将法制审核人员培训纳入年度法治政府建设重点工作，统筹保障培训经费、学习时间、场地资源，保障培训工作正常开展。</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第十九条 建立常态化师资库，吸纳本局业务骨干、法律顾问、司法行政系统专家、律所专业律师作为长期授课师资，保</w:t>
      </w:r>
      <w:bookmarkStart w:id="0" w:name="_GoBack"/>
      <w:bookmarkEnd w:id="0"/>
      <w:r>
        <w:rPr>
          <w:rFonts w:hint="eastAsia" w:ascii="仿宋_GB2312" w:eastAsia="仿宋_GB2312"/>
          <w:sz w:val="32"/>
          <w:szCs w:val="32"/>
        </w:rPr>
        <w:t>障培训专业性。</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第二十条 充分发挥法律顾问、单位公职律师带教作用，对重大、疑难执法案件实行现场同步教学，提升培训实战效果。</w:t>
      </w:r>
    </w:p>
    <w:p>
      <w:pPr>
        <w:spacing w:line="560" w:lineRule="exact"/>
        <w:ind w:firstLine="640" w:firstLineChars="200"/>
        <w:rPr>
          <w:rFonts w:hint="eastAsia" w:ascii="黑体" w:hAnsi="黑体" w:eastAsia="黑体"/>
          <w:sz w:val="32"/>
          <w:szCs w:val="32"/>
        </w:rPr>
      </w:pPr>
      <w:r>
        <w:rPr>
          <w:rFonts w:hint="eastAsia" w:ascii="黑体" w:hAnsi="黑体" w:eastAsia="黑体"/>
          <w:sz w:val="32"/>
          <w:szCs w:val="32"/>
        </w:rPr>
        <w:t>第九章 附则</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第二十一条 本制度由投资促进服务中心负责解释。</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第二十二条 本制度自印发之日起正式施行。</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GWZT-EN"/>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GWZT-EN"/>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695F"/>
    <w:rsid w:val="0001656E"/>
    <w:rsid w:val="00074FD8"/>
    <w:rsid w:val="007F695F"/>
    <w:rsid w:val="009156A7"/>
    <w:rsid w:val="F77BD5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Hewlett-Packard Company</Company>
  <Pages>6</Pages>
  <Words>422</Words>
  <Characters>2406</Characters>
  <Lines>20</Lines>
  <Paragraphs>5</Paragraphs>
  <TotalTime>8</TotalTime>
  <ScaleCrop>false</ScaleCrop>
  <LinksUpToDate>false</LinksUpToDate>
  <CharactersWithSpaces>2823</CharactersWithSpaces>
  <Application>WPS Office_12.8.2.15290_F1E327BC-269C-435d-A152-05C5408002CA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2026-07-08T08:50:00Z</dcterms:created>
  <dc:creator>Hewlett-Packard Company</dc:creator>
  <cp:lastModifiedBy>LXT</cp:lastModifiedBy>
  <dcterms:modified xsi:type="dcterms:W3CDTF">2026-07-10T15:17:05Z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2052-12.8.2.15290</vt:lpwstr>
  </property>
  <property fmtid="{D5CDD505-2E9C-101B-9397-08002B2CF9AE}" pid="3" name="ICV">
    <vt:lpwstr>FB7529C39D71B1BB719C506A2FDA4DC4_42</vt:lpwstr>
  </property>
</Properties>
</file>